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  <w:t>附件1： 兰州科技职业学院2022年招聘人员岗位统计表</w:t>
      </w:r>
    </w:p>
    <w:bookmarkEnd w:id="0"/>
    <w:tbl>
      <w:tblPr>
        <w:tblStyle w:val="3"/>
        <w:tblpPr w:leftFromText="181" w:rightFromText="181" w:vertAnchor="text" w:horzAnchor="page" w:tblpXSpec="center" w:tblpY="568"/>
        <w:tblOverlap w:val="never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1276"/>
        <w:gridCol w:w="1701"/>
        <w:gridCol w:w="1276"/>
        <w:gridCol w:w="400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系别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招聘岗位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招聘人数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240" w:lineRule="atLeast"/>
              <w:ind w:firstLine="1200" w:firstLineChars="500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其它条件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临床医学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全日制大学本科及以上学历,临床医学及相关专业。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药  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全日制大学本科及以上学历,药学及相关专业。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口腔医学技术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全日制大学本科及以上学历,口腔医学或口腔医学技术专业。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医学检验技术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全日制大学本科及以上学历,医学检验技术及相关专业。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教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部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体  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全日制大学本科及以上学历,专业方向为武术或足球、羽毛球、兵乓球。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英  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人力资源相关专业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18"/>
                <w:szCs w:val="18"/>
              </w:rPr>
              <w:t>马克思理论主义教研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思想政治教育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全日制大学本科及以上学历；思想政治教育、法学、马克思主义理论学科。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计算机应用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全日制大学本科及以上学历；计算机科学与技术、计算机应用、网络工程、软件工程专业。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铁道交通运营管理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全日制大学本科及以上学历；交通运输专业（铁路交通运营方向）。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数据科学与大数据技术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程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机械设计制造及其自动化等相关专业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本科及以上学历，具有一定的专业实践操作能力，有工作经验者优先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车辆工程、汽车服务工程等相关专业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本科及以上学历，具有一定的专业实践操作能力，有工作经验者优先。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处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辅导员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思想政治教育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仿宋" w:hAnsi="仿宋" w:eastAsia="仿宋" w:cs="仿宋"/>
          <w:sz w:val="24"/>
        </w:rPr>
      </w:pPr>
    </w:p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spacing w:line="240" w:lineRule="atLeast"/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</w:pPr>
      <w:r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  <w:t>附件1： 兰州科技职业学院2022年招聘人员岗位统计表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1276"/>
        <w:gridCol w:w="1701"/>
        <w:gridCol w:w="1276"/>
        <w:gridCol w:w="400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系别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招聘岗位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招聘人数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240" w:lineRule="atLeast"/>
              <w:ind w:firstLine="1200" w:firstLineChars="500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其它条件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临床医学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全日制大学本科及以上学历,临床医学及相关专业。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药  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全日制大学本科及以上学历,药学及相关专业。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口腔医学技术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全日制大学本科及以上学历,口腔医学或口腔医学技术专业。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医学检验技术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全日制大学本科及以上学历,医学检验技术及相关专业。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教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部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体  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全日制大学本科及以上学历,专业方向为武术或足球、羽毛球、兵乓球。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英  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人力资源相关专业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18"/>
                <w:szCs w:val="18"/>
              </w:rPr>
              <w:t>马克思理论主义教研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思想政治教育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全日制大学本科及以上学历；思想政治教育、法学、马克思主义理论学科。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计算机应用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全日制大学本科及以上学历；计算机科学与技术、计算机应用、网络工程、软件工程专业。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铁道交通运营管理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全日制大学本科及以上学历；交通运输专业（铁路交通运营方向）。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数据科学与大数据技术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程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8"/>
                <w:szCs w:val="28"/>
              </w:rPr>
              <w:t>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机械设计制造及其自动化等相关专业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本科及以上学历，具有一定的专业实践操作能力，有工作经验者优先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车辆工程、汽车服务工程等相关专业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本科及以上学历，具有一定的专业实践操作能力，有工作经验者优先。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处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辅导员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思想政治教育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4003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pStyle w:val="2"/>
        <w:widowControl/>
        <w:spacing w:before="0" w:beforeAutospacing="0" w:after="0" w:afterAutospacing="0" w:line="420" w:lineRule="atLeast"/>
        <w:jc w:val="both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jhiYjc4NWJlZTIwNDJkNTE1NGVlZTY4MjAxY2UifQ=="/>
  </w:docVars>
  <w:rsids>
    <w:rsidRoot w:val="6EA17160"/>
    <w:rsid w:val="4484645D"/>
    <w:rsid w:val="6EA17160"/>
    <w:rsid w:val="74B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2022-07-06T00:47:00Z</dcterms:created>
  <dc:creator>Elvaxin</dc:creator>
  <cp:lastModifiedBy>Elvaxin</cp:lastModifiedBy>
  <dcterms:modified xsi:type="dcterms:W3CDTF">2022-07-06T01:49:30Z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69941252D1894BDB809C431DAA8ABD1F</vt:lpwstr>
  </property>
</Properties>
</file>